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F2DBB" w14:textId="5647D224" w:rsidR="00615C5B" w:rsidRPr="00DD30DF" w:rsidRDefault="00F9412B" w:rsidP="00501203">
      <w:pPr>
        <w:pStyle w:val="Title"/>
        <w:jc w:val="center"/>
        <w:rPr>
          <w:sz w:val="32"/>
        </w:rPr>
      </w:pPr>
      <w:bookmarkStart w:id="0" w:name="OLE_LINK1"/>
      <w:bookmarkStart w:id="1" w:name="_GoBack"/>
      <w:bookmarkEnd w:id="1"/>
      <w:r w:rsidRPr="00F9412B">
        <w:rPr>
          <w:sz w:val="32"/>
        </w:rPr>
        <w:t>SeriesSEE Workshop:</w:t>
      </w:r>
      <w:r>
        <w:rPr>
          <w:sz w:val="32"/>
        </w:rPr>
        <w:t xml:space="preserve"> </w:t>
      </w:r>
      <w:r w:rsidRPr="00F9412B">
        <w:rPr>
          <w:sz w:val="32"/>
        </w:rPr>
        <w:t>Detecting Distant Drawdowns</w:t>
      </w:r>
    </w:p>
    <w:bookmarkEnd w:id="0"/>
    <w:p w14:paraId="251A1CFA" w14:textId="093777FA" w:rsidR="0063458F" w:rsidRPr="0063458F" w:rsidRDefault="00423AA9" w:rsidP="0063458F">
      <w:pPr>
        <w:pStyle w:val="BodyText"/>
        <w:rPr>
          <w:rFonts w:ascii="Arial" w:hAnsi="Arial"/>
        </w:rPr>
      </w:pPr>
      <w:r>
        <w:rPr>
          <w:rFonts w:ascii="Arial" w:hAnsi="Arial"/>
        </w:rPr>
        <w:t>Small pumping signals can be detected reliably with water-level modeling as implemented in SeriesSEE.  For example, d</w:t>
      </w:r>
      <w:r w:rsidR="0063458F" w:rsidRPr="0063458F">
        <w:rPr>
          <w:rFonts w:ascii="Arial" w:hAnsi="Arial"/>
        </w:rPr>
        <w:t>rawdown</w:t>
      </w:r>
      <w:r w:rsidR="0063458F">
        <w:rPr>
          <w:rFonts w:ascii="Arial" w:hAnsi="Arial"/>
        </w:rPr>
        <w:t>s</w:t>
      </w:r>
      <w:r w:rsidR="00DD5B48">
        <w:rPr>
          <w:rFonts w:ascii="Arial" w:hAnsi="Arial"/>
        </w:rPr>
        <w:t xml:space="preserve"> of less than 0.05 ft</w:t>
      </w:r>
      <w:r w:rsidR="0063458F" w:rsidRPr="0063458F">
        <w:rPr>
          <w:rFonts w:ascii="Arial" w:hAnsi="Arial"/>
        </w:rPr>
        <w:t xml:space="preserve"> </w:t>
      </w:r>
      <w:r w:rsidR="00F9412B">
        <w:rPr>
          <w:rFonts w:ascii="Arial" w:hAnsi="Arial"/>
        </w:rPr>
        <w:t>we</w:t>
      </w:r>
      <w:r w:rsidR="0063458F">
        <w:rPr>
          <w:rFonts w:ascii="Arial" w:hAnsi="Arial"/>
        </w:rPr>
        <w:t xml:space="preserve">re detected </w:t>
      </w:r>
      <w:r w:rsidR="00DD5B48">
        <w:rPr>
          <w:rFonts w:ascii="Arial" w:hAnsi="Arial"/>
        </w:rPr>
        <w:t xml:space="preserve">routinely </w:t>
      </w:r>
      <w:r w:rsidR="0063458F">
        <w:rPr>
          <w:rFonts w:ascii="Arial" w:hAnsi="Arial"/>
        </w:rPr>
        <w:t xml:space="preserve">beneath </w:t>
      </w:r>
      <w:hyperlink r:id="rId7" w:history="1">
        <w:r w:rsidR="0063458F" w:rsidRPr="00423AA9">
          <w:rPr>
            <w:rStyle w:val="Hyperlink"/>
            <w:rFonts w:ascii="Arial" w:hAnsi="Arial"/>
          </w:rPr>
          <w:t>Pahute Mesa, Nevada</w:t>
        </w:r>
      </w:hyperlink>
      <w:r w:rsidR="00DD5B48">
        <w:rPr>
          <w:rFonts w:ascii="Arial" w:hAnsi="Arial"/>
        </w:rPr>
        <w:t xml:space="preserve"> where </w:t>
      </w:r>
      <w:r>
        <w:rPr>
          <w:rFonts w:ascii="Arial" w:hAnsi="Arial"/>
        </w:rPr>
        <w:t xml:space="preserve">environmental, </w:t>
      </w:r>
      <w:r w:rsidR="00DD5B48">
        <w:rPr>
          <w:rFonts w:ascii="Arial" w:hAnsi="Arial"/>
        </w:rPr>
        <w:t>barometric and tidal</w:t>
      </w:r>
      <w:r>
        <w:rPr>
          <w:rFonts w:ascii="Arial" w:hAnsi="Arial"/>
        </w:rPr>
        <w:t>,</w:t>
      </w:r>
      <w:r w:rsidR="00DD5B48">
        <w:rPr>
          <w:rFonts w:ascii="Arial" w:hAnsi="Arial"/>
        </w:rPr>
        <w:t xml:space="preserve"> fluctuations exceed </w:t>
      </w:r>
      <w:r>
        <w:rPr>
          <w:rFonts w:ascii="Arial" w:hAnsi="Arial"/>
        </w:rPr>
        <w:t>0.5</w:t>
      </w:r>
      <w:r w:rsidR="00DD5B48">
        <w:rPr>
          <w:rFonts w:ascii="Arial" w:hAnsi="Arial"/>
        </w:rPr>
        <w:t xml:space="preserve"> ft.  </w:t>
      </w:r>
      <w:r>
        <w:rPr>
          <w:rFonts w:ascii="Arial" w:hAnsi="Arial"/>
        </w:rPr>
        <w:t xml:space="preserve">Water-level models simulate </w:t>
      </w:r>
      <w:r w:rsidR="0063458F" w:rsidRPr="0063458F">
        <w:rPr>
          <w:rFonts w:ascii="Arial" w:hAnsi="Arial"/>
        </w:rPr>
        <w:t xml:space="preserve">environmental water-level fluctuations and pumping effects. Environmental water-level fluctuations </w:t>
      </w:r>
      <w:r w:rsidR="0063458F">
        <w:rPr>
          <w:rFonts w:ascii="Arial" w:hAnsi="Arial"/>
        </w:rPr>
        <w:t>a</w:t>
      </w:r>
      <w:r w:rsidR="0063458F" w:rsidRPr="0063458F">
        <w:rPr>
          <w:rFonts w:ascii="Arial" w:hAnsi="Arial"/>
        </w:rPr>
        <w:t xml:space="preserve">re simulated by summing individual time-series of barometric pressure, tidal potential, and background water levels. Water levels from background wells, unaffected by pumping, </w:t>
      </w:r>
      <w:r w:rsidR="0063458F">
        <w:rPr>
          <w:rFonts w:ascii="Arial" w:hAnsi="Arial"/>
        </w:rPr>
        <w:t>a</w:t>
      </w:r>
      <w:r w:rsidR="0063458F" w:rsidRPr="0063458F">
        <w:rPr>
          <w:rFonts w:ascii="Arial" w:hAnsi="Arial"/>
        </w:rPr>
        <w:t xml:space="preserve">re critical because they </w:t>
      </w:r>
      <w:r w:rsidR="0063458F">
        <w:rPr>
          <w:rFonts w:ascii="Arial" w:hAnsi="Arial"/>
        </w:rPr>
        <w:t>a</w:t>
      </w:r>
      <w:r w:rsidR="0063458F" w:rsidRPr="0063458F">
        <w:rPr>
          <w:rFonts w:ascii="Arial" w:hAnsi="Arial"/>
        </w:rPr>
        <w:t xml:space="preserve">re affected by tidal potential–rock interaction, imperfect barometric coupling, seasonal trends, and climatic trends. </w:t>
      </w:r>
      <w:r>
        <w:rPr>
          <w:rFonts w:ascii="Arial" w:hAnsi="Arial"/>
        </w:rPr>
        <w:t xml:space="preserve"> </w:t>
      </w:r>
      <w:r w:rsidR="0063458F" w:rsidRPr="0063458F">
        <w:rPr>
          <w:rFonts w:ascii="Arial" w:hAnsi="Arial"/>
        </w:rPr>
        <w:t xml:space="preserve">Pumping </w:t>
      </w:r>
      <w:r>
        <w:rPr>
          <w:rFonts w:ascii="Arial" w:hAnsi="Arial"/>
        </w:rPr>
        <w:t xml:space="preserve">schedules are transformed to water-level </w:t>
      </w:r>
      <w:r w:rsidR="0063458F" w:rsidRPr="0063458F">
        <w:rPr>
          <w:rFonts w:ascii="Arial" w:hAnsi="Arial"/>
        </w:rPr>
        <w:t>responses with superposition Theis model</w:t>
      </w:r>
      <w:r>
        <w:rPr>
          <w:rFonts w:ascii="Arial" w:hAnsi="Arial"/>
        </w:rPr>
        <w:t xml:space="preserve">s. </w:t>
      </w:r>
      <w:r w:rsidR="0063458F" w:rsidRPr="0063458F">
        <w:rPr>
          <w:rFonts w:ascii="Arial" w:hAnsi="Arial"/>
        </w:rPr>
        <w:t>Numerical experiments</w:t>
      </w:r>
      <w:r w:rsidR="0063458F">
        <w:rPr>
          <w:rFonts w:ascii="Arial" w:hAnsi="Arial"/>
        </w:rPr>
        <w:t xml:space="preserve"> </w:t>
      </w:r>
      <w:r w:rsidR="0063458F" w:rsidRPr="0063458F">
        <w:rPr>
          <w:rFonts w:ascii="Arial" w:hAnsi="Arial"/>
        </w:rPr>
        <w:t xml:space="preserve">have confirmed that </w:t>
      </w:r>
      <w:r>
        <w:rPr>
          <w:rFonts w:ascii="Arial" w:hAnsi="Arial"/>
        </w:rPr>
        <w:t xml:space="preserve">these </w:t>
      </w:r>
      <w:r w:rsidR="0063458F" w:rsidRPr="0063458F">
        <w:rPr>
          <w:rFonts w:ascii="Arial" w:hAnsi="Arial"/>
        </w:rPr>
        <w:t xml:space="preserve">Theis </w:t>
      </w:r>
      <w:r>
        <w:rPr>
          <w:rFonts w:ascii="Arial" w:hAnsi="Arial"/>
        </w:rPr>
        <w:t>transform</w:t>
      </w:r>
      <w:r w:rsidR="0063458F" w:rsidRPr="0063458F">
        <w:rPr>
          <w:rFonts w:ascii="Arial" w:hAnsi="Arial"/>
        </w:rPr>
        <w:t xml:space="preserve">s closely approximate water-level responses through hydrogeologically complex aquifers. </w:t>
      </w:r>
      <w:r>
        <w:rPr>
          <w:rFonts w:ascii="Arial" w:hAnsi="Arial"/>
        </w:rPr>
        <w:t xml:space="preserve"> </w:t>
      </w:r>
    </w:p>
    <w:p w14:paraId="75D66594" w14:textId="77777777" w:rsidR="00CF38C6" w:rsidRDefault="00DD5B48" w:rsidP="00423AA9">
      <w:pPr>
        <w:pStyle w:val="BodyText"/>
        <w:rPr>
          <w:rFonts w:ascii="Arial" w:hAnsi="Arial"/>
        </w:rPr>
      </w:pPr>
      <w:r w:rsidRPr="00DD5B48">
        <w:rPr>
          <w:rFonts w:ascii="Arial" w:hAnsi="Arial"/>
        </w:rPr>
        <w:t xml:space="preserve">SeriesSEE is an Excel Add-In for viewing, cleaning, and analyzing time series or geophysical logs. </w:t>
      </w:r>
      <w:r w:rsidR="00CF38C6">
        <w:rPr>
          <w:rFonts w:ascii="Arial" w:hAnsi="Arial"/>
        </w:rPr>
        <w:t>Bad data in s</w:t>
      </w:r>
      <w:r w:rsidR="00423AA9">
        <w:rPr>
          <w:rFonts w:ascii="Arial" w:hAnsi="Arial"/>
        </w:rPr>
        <w:t xml:space="preserve">eries can be </w:t>
      </w:r>
      <w:r w:rsidR="00CF38C6">
        <w:rPr>
          <w:rFonts w:ascii="Arial" w:hAnsi="Arial"/>
        </w:rPr>
        <w:t xml:space="preserve">identified and removed either </w:t>
      </w:r>
      <w:r w:rsidR="00423AA9">
        <w:rPr>
          <w:rFonts w:ascii="Arial" w:hAnsi="Arial"/>
        </w:rPr>
        <w:t xml:space="preserve">conditionally </w:t>
      </w:r>
      <w:r w:rsidR="00CF38C6">
        <w:rPr>
          <w:rFonts w:ascii="Arial" w:hAnsi="Arial"/>
        </w:rPr>
        <w:t>or</w:t>
      </w:r>
      <w:r w:rsidR="00423AA9">
        <w:rPr>
          <w:rFonts w:ascii="Arial" w:hAnsi="Arial"/>
        </w:rPr>
        <w:t xml:space="preserve"> graphically</w:t>
      </w:r>
      <w:r w:rsidRPr="00DD5B48">
        <w:rPr>
          <w:rFonts w:ascii="Arial" w:hAnsi="Arial"/>
        </w:rPr>
        <w:t xml:space="preserve">. Series can be added, subtracted, multiplied, or divided even where measurement frequencies are irregular, different, and asynchronous. </w:t>
      </w:r>
      <w:r w:rsidR="00CF38C6">
        <w:rPr>
          <w:rFonts w:ascii="Arial" w:hAnsi="Arial"/>
        </w:rPr>
        <w:t xml:space="preserve">Many other tools exist in SeriesSEE that facilitate rapid data reduction and the creation of water-level models. </w:t>
      </w:r>
    </w:p>
    <w:p w14:paraId="3D03D8E6" w14:textId="77777777" w:rsidR="00CF38C6" w:rsidRDefault="00CF38C6" w:rsidP="00CF38C6">
      <w:pPr>
        <w:pStyle w:val="BodyText"/>
        <w:rPr>
          <w:rFonts w:ascii="Arial" w:hAnsi="Arial"/>
        </w:rPr>
      </w:pPr>
      <w:r w:rsidRPr="00CF38C6">
        <w:rPr>
          <w:rFonts w:ascii="Arial" w:hAnsi="Arial"/>
        </w:rPr>
        <w:t>Water-</w:t>
      </w:r>
      <w:r>
        <w:rPr>
          <w:rFonts w:ascii="Arial" w:hAnsi="Arial"/>
        </w:rPr>
        <w:t>l</w:t>
      </w:r>
      <w:r w:rsidRPr="00CF38C6">
        <w:rPr>
          <w:rFonts w:ascii="Arial" w:hAnsi="Arial"/>
        </w:rPr>
        <w:t xml:space="preserve">evel </w:t>
      </w:r>
      <w:r>
        <w:rPr>
          <w:rFonts w:ascii="Arial" w:hAnsi="Arial"/>
        </w:rPr>
        <w:t>m</w:t>
      </w:r>
      <w:r w:rsidRPr="00CF38C6">
        <w:rPr>
          <w:rFonts w:ascii="Arial" w:hAnsi="Arial"/>
        </w:rPr>
        <w:t>odel</w:t>
      </w:r>
      <w:r>
        <w:rPr>
          <w:rFonts w:ascii="Arial" w:hAnsi="Arial"/>
        </w:rPr>
        <w:t>s</w:t>
      </w:r>
      <w:r w:rsidRPr="00CF38C6">
        <w:rPr>
          <w:rFonts w:ascii="Arial" w:hAnsi="Arial"/>
        </w:rPr>
        <w:t xml:space="preserve"> </w:t>
      </w:r>
      <w:r>
        <w:rPr>
          <w:rFonts w:ascii="Arial" w:hAnsi="Arial"/>
        </w:rPr>
        <w:t>are created interactively with</w:t>
      </w:r>
      <w:r w:rsidRPr="00CF38C6">
        <w:rPr>
          <w:rFonts w:ascii="Arial" w:hAnsi="Arial"/>
        </w:rPr>
        <w:t xml:space="preserve"> SeriesSEE </w:t>
      </w:r>
      <w:r>
        <w:rPr>
          <w:rFonts w:ascii="Arial" w:hAnsi="Arial"/>
        </w:rPr>
        <w:t xml:space="preserve">in </w:t>
      </w:r>
      <w:r w:rsidRPr="00CF38C6">
        <w:rPr>
          <w:rFonts w:ascii="Arial" w:hAnsi="Arial"/>
        </w:rPr>
        <w:t xml:space="preserve">a new workbook.  </w:t>
      </w:r>
      <w:r>
        <w:rPr>
          <w:rFonts w:ascii="Arial" w:hAnsi="Arial"/>
        </w:rPr>
        <w:t>Synthetic w</w:t>
      </w:r>
      <w:r w:rsidRPr="00CF38C6">
        <w:rPr>
          <w:rFonts w:ascii="Arial" w:hAnsi="Arial"/>
        </w:rPr>
        <w:t xml:space="preserve">ater levels are simulated with a FORTRAN program </w:t>
      </w:r>
      <w:r>
        <w:rPr>
          <w:rFonts w:ascii="Arial" w:hAnsi="Arial"/>
        </w:rPr>
        <w:t>where d</w:t>
      </w:r>
      <w:r w:rsidRPr="00CF38C6">
        <w:rPr>
          <w:rFonts w:ascii="Arial" w:hAnsi="Arial"/>
        </w:rPr>
        <w:t xml:space="preserve">ifferences between synthetic and measured water levels are minimized with PEST.  </w:t>
      </w:r>
      <w:r>
        <w:rPr>
          <w:rFonts w:ascii="Arial" w:hAnsi="Arial"/>
        </w:rPr>
        <w:t>Model</w:t>
      </w:r>
      <w:r w:rsidRPr="00CF38C6">
        <w:rPr>
          <w:rFonts w:ascii="Arial" w:hAnsi="Arial"/>
        </w:rPr>
        <w:t xml:space="preserve"> fit is defined by RMS error and evaluated graphically.  </w:t>
      </w:r>
      <w:r>
        <w:rPr>
          <w:rFonts w:ascii="Arial" w:hAnsi="Arial"/>
        </w:rPr>
        <w:t>Estimated d</w:t>
      </w:r>
      <w:r w:rsidRPr="00CF38C6">
        <w:rPr>
          <w:rFonts w:ascii="Arial" w:hAnsi="Arial"/>
        </w:rPr>
        <w:t xml:space="preserve">rawdowns are </w:t>
      </w:r>
      <w:r>
        <w:rPr>
          <w:rFonts w:ascii="Arial" w:hAnsi="Arial"/>
        </w:rPr>
        <w:t>the summation of</w:t>
      </w:r>
      <w:r w:rsidRPr="00CF38C6">
        <w:rPr>
          <w:rFonts w:ascii="Arial" w:hAnsi="Arial"/>
        </w:rPr>
        <w:t xml:space="preserve"> all Theis transforms and differences between synthetic and measured water levels.</w:t>
      </w:r>
      <w:r>
        <w:rPr>
          <w:rFonts w:ascii="Arial" w:hAnsi="Arial"/>
        </w:rPr>
        <w:t xml:space="preserve">  </w:t>
      </w:r>
    </w:p>
    <w:p w14:paraId="57A4CC64" w14:textId="77777777" w:rsidR="00DD30DF" w:rsidRDefault="00F138EC" w:rsidP="00CF38C6">
      <w:pPr>
        <w:pStyle w:val="BodyText"/>
        <w:rPr>
          <w:rFonts w:ascii="Arial" w:hAnsi="Arial"/>
        </w:rPr>
      </w:pPr>
      <w:r>
        <w:rPr>
          <w:rFonts w:ascii="Arial" w:hAnsi="Arial"/>
        </w:rPr>
        <w:t xml:space="preserve">The methodology and supporting software in </w:t>
      </w:r>
      <w:r w:rsidRPr="00DD5B48">
        <w:rPr>
          <w:rFonts w:ascii="Arial" w:hAnsi="Arial"/>
        </w:rPr>
        <w:t xml:space="preserve">SeriesSEE </w:t>
      </w:r>
      <w:r>
        <w:rPr>
          <w:rFonts w:ascii="Arial" w:hAnsi="Arial"/>
        </w:rPr>
        <w:t>is documented in publically available articles and reports. The validity of simulating pumping signals in geologically complex environments was demonstrated clearly in the article, “</w:t>
      </w:r>
      <w:r w:rsidRPr="00F138EC">
        <w:rPr>
          <w:rFonts w:ascii="Arial" w:hAnsi="Arial"/>
        </w:rPr>
        <w:t>Detecting Drawdowns Masked by Environmental Stresses with Water-Level Models</w:t>
      </w:r>
      <w:r>
        <w:rPr>
          <w:rFonts w:ascii="Arial" w:hAnsi="Arial"/>
        </w:rPr>
        <w:t xml:space="preserve">,” </w:t>
      </w:r>
      <w:hyperlink r:id="rId8" w:history="1">
        <w:r>
          <w:rPr>
            <w:rStyle w:val="Hyperlink"/>
          </w:rPr>
          <w:t>http://onlinelibrary.wiley.com/doi/10.1111/gwat.12042/full</w:t>
        </w:r>
      </w:hyperlink>
      <w:r>
        <w:t>.</w:t>
      </w:r>
      <w:r w:rsidRPr="00F138EC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software </w:t>
      </w:r>
      <w:r w:rsidRPr="00DD5B48">
        <w:rPr>
          <w:rFonts w:ascii="Arial" w:hAnsi="Arial"/>
        </w:rPr>
        <w:t xml:space="preserve">SeriesSEE </w:t>
      </w:r>
      <w:r>
        <w:rPr>
          <w:rFonts w:ascii="Arial" w:hAnsi="Arial"/>
        </w:rPr>
        <w:t xml:space="preserve">has been documented, validated, and distributed through a USGS </w:t>
      </w:r>
      <w:r w:rsidRPr="00F138EC">
        <w:rPr>
          <w:rFonts w:ascii="Arial" w:hAnsi="Arial"/>
        </w:rPr>
        <w:t xml:space="preserve">Techniques and Methods </w:t>
      </w:r>
      <w:r>
        <w:rPr>
          <w:rFonts w:ascii="Arial" w:hAnsi="Arial"/>
        </w:rPr>
        <w:t xml:space="preserve">report, </w:t>
      </w:r>
      <w:hyperlink r:id="rId9" w:history="1">
        <w:r w:rsidRPr="00AD6D6B">
          <w:rPr>
            <w:rStyle w:val="Hyperlink"/>
          </w:rPr>
          <w:t>http://pubs.usgs.gov//tm/tm4-F4</w:t>
        </w:r>
      </w:hyperlink>
      <w:r w:rsidRPr="00F138EC">
        <w:t>.</w:t>
      </w:r>
      <w:r>
        <w:rPr>
          <w:rFonts w:ascii="Arial" w:hAnsi="Arial"/>
        </w:rPr>
        <w:t xml:space="preserve"> </w:t>
      </w:r>
      <w:r w:rsidRPr="00DD5B48">
        <w:rPr>
          <w:rFonts w:ascii="Arial" w:hAnsi="Arial"/>
        </w:rPr>
        <w:t>SeriesSEE</w:t>
      </w:r>
      <w:r>
        <w:rPr>
          <w:rFonts w:ascii="Arial" w:hAnsi="Arial"/>
        </w:rPr>
        <w:t xml:space="preserve"> </w:t>
      </w:r>
      <w:r w:rsidRPr="00F138EC">
        <w:rPr>
          <w:rFonts w:ascii="Arial" w:hAnsi="Arial"/>
        </w:rPr>
        <w:t xml:space="preserve">is public domain </w:t>
      </w:r>
      <w:r>
        <w:rPr>
          <w:rFonts w:ascii="Arial" w:hAnsi="Arial"/>
        </w:rPr>
        <w:t>software that can be adapted and used freely</w:t>
      </w:r>
      <w:r w:rsidRPr="00F138E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</w:p>
    <w:p w14:paraId="6841F430" w14:textId="20528755" w:rsidR="00EA076F" w:rsidRDefault="00EA076F">
      <w:pPr>
        <w:rPr>
          <w:rFonts w:ascii="Arial" w:hAnsi="Arial"/>
        </w:rPr>
      </w:pPr>
    </w:p>
    <w:sectPr w:rsidR="00EA076F">
      <w:footerReference w:type="even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BDFA9" w14:textId="77777777" w:rsidR="006A7B18" w:rsidRDefault="006A7B18">
      <w:r>
        <w:separator/>
      </w:r>
    </w:p>
  </w:endnote>
  <w:endnote w:type="continuationSeparator" w:id="0">
    <w:p w14:paraId="679218F6" w14:textId="77777777" w:rsidR="006A7B18" w:rsidRDefault="006A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2701A" w14:textId="77777777" w:rsidR="00E426AC" w:rsidRDefault="00E426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33F7B" w14:textId="77777777" w:rsidR="00E426AC" w:rsidRDefault="00E426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AEBF3" w14:textId="77777777" w:rsidR="00E426AC" w:rsidRDefault="00E426AC" w:rsidP="00EA07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1CC30" w14:textId="77777777" w:rsidR="006A7B18" w:rsidRDefault="006A7B18">
      <w:r>
        <w:separator/>
      </w:r>
    </w:p>
  </w:footnote>
  <w:footnote w:type="continuationSeparator" w:id="0">
    <w:p w14:paraId="15CDAFFD" w14:textId="77777777" w:rsidR="006A7B18" w:rsidRDefault="006A7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EDF6B2F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2A44CF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71CE7A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256272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FD28D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49188E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A61FC6"/>
    <w:multiLevelType w:val="singleLevel"/>
    <w:tmpl w:val="F1BA1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1609"/>
    <w:rsid w:val="00003645"/>
    <w:rsid w:val="00083408"/>
    <w:rsid w:val="000A6EC6"/>
    <w:rsid w:val="000E6152"/>
    <w:rsid w:val="001269A4"/>
    <w:rsid w:val="001326AD"/>
    <w:rsid w:val="00140D10"/>
    <w:rsid w:val="00155D14"/>
    <w:rsid w:val="0017469C"/>
    <w:rsid w:val="00176F7E"/>
    <w:rsid w:val="0017710B"/>
    <w:rsid w:val="001A1C21"/>
    <w:rsid w:val="001E6BDF"/>
    <w:rsid w:val="00210D2D"/>
    <w:rsid w:val="00257948"/>
    <w:rsid w:val="00264A97"/>
    <w:rsid w:val="00264B95"/>
    <w:rsid w:val="00267EB3"/>
    <w:rsid w:val="00287807"/>
    <w:rsid w:val="002A2708"/>
    <w:rsid w:val="002A61F8"/>
    <w:rsid w:val="00333399"/>
    <w:rsid w:val="00386623"/>
    <w:rsid w:val="003B4E14"/>
    <w:rsid w:val="00423AA9"/>
    <w:rsid w:val="00426349"/>
    <w:rsid w:val="004418D7"/>
    <w:rsid w:val="00447A8E"/>
    <w:rsid w:val="004B76B5"/>
    <w:rsid w:val="004C7472"/>
    <w:rsid w:val="004F34CB"/>
    <w:rsid w:val="00501203"/>
    <w:rsid w:val="00555707"/>
    <w:rsid w:val="00580BF6"/>
    <w:rsid w:val="005C103F"/>
    <w:rsid w:val="00615C5B"/>
    <w:rsid w:val="006178FF"/>
    <w:rsid w:val="0063458F"/>
    <w:rsid w:val="00636AE4"/>
    <w:rsid w:val="006415E7"/>
    <w:rsid w:val="006A7B18"/>
    <w:rsid w:val="006C35C6"/>
    <w:rsid w:val="0070364C"/>
    <w:rsid w:val="007229F3"/>
    <w:rsid w:val="00775A2F"/>
    <w:rsid w:val="007E38D5"/>
    <w:rsid w:val="007F0E4A"/>
    <w:rsid w:val="00802ED5"/>
    <w:rsid w:val="00851184"/>
    <w:rsid w:val="00865274"/>
    <w:rsid w:val="008B0328"/>
    <w:rsid w:val="00925F4E"/>
    <w:rsid w:val="00952CE0"/>
    <w:rsid w:val="00981989"/>
    <w:rsid w:val="00A21609"/>
    <w:rsid w:val="00A32131"/>
    <w:rsid w:val="00A612BD"/>
    <w:rsid w:val="00A65901"/>
    <w:rsid w:val="00A77D1C"/>
    <w:rsid w:val="00AA5232"/>
    <w:rsid w:val="00AB3B29"/>
    <w:rsid w:val="00AE3FEA"/>
    <w:rsid w:val="00B11ADB"/>
    <w:rsid w:val="00B30313"/>
    <w:rsid w:val="00B4774E"/>
    <w:rsid w:val="00B50BE2"/>
    <w:rsid w:val="00B66C1A"/>
    <w:rsid w:val="00B84CB9"/>
    <w:rsid w:val="00BA004A"/>
    <w:rsid w:val="00BA0E82"/>
    <w:rsid w:val="00BE4A59"/>
    <w:rsid w:val="00C16497"/>
    <w:rsid w:val="00C17A32"/>
    <w:rsid w:val="00C36723"/>
    <w:rsid w:val="00C90BD8"/>
    <w:rsid w:val="00CC484E"/>
    <w:rsid w:val="00CD144C"/>
    <w:rsid w:val="00CE68C7"/>
    <w:rsid w:val="00CF38C6"/>
    <w:rsid w:val="00D232D9"/>
    <w:rsid w:val="00D32C57"/>
    <w:rsid w:val="00D5475A"/>
    <w:rsid w:val="00D75193"/>
    <w:rsid w:val="00D93B8E"/>
    <w:rsid w:val="00DD30DF"/>
    <w:rsid w:val="00DD5B48"/>
    <w:rsid w:val="00E07500"/>
    <w:rsid w:val="00E426AC"/>
    <w:rsid w:val="00EA076F"/>
    <w:rsid w:val="00EA5D6A"/>
    <w:rsid w:val="00ED44A1"/>
    <w:rsid w:val="00EE36F2"/>
    <w:rsid w:val="00F138EC"/>
    <w:rsid w:val="00F42D12"/>
    <w:rsid w:val="00F9412B"/>
    <w:rsid w:val="00F96A12"/>
    <w:rsid w:val="00FC2EF7"/>
    <w:rsid w:val="00FE27D1"/>
    <w:rsid w:val="00FF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4A53D5"/>
  <w15:docId w15:val="{0FD0D71E-24AC-4FA3-831F-558F19780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BodyText"/>
    <w:qFormat/>
    <w:pPr>
      <w:keepNext/>
      <w:spacing w:before="12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BodyText"/>
    <w:qFormat/>
    <w:pPr>
      <w:keepNext/>
      <w:spacing w:before="180" w:after="120"/>
      <w:outlineLvl w:val="2"/>
    </w:pPr>
    <w:rPr>
      <w:rFonts w:ascii="Arial" w:hAnsi="Arial" w:cs="Arial"/>
      <w:b/>
      <w:bCs/>
      <w:i/>
      <w:szCs w:val="26"/>
    </w:rPr>
  </w:style>
  <w:style w:type="paragraph" w:styleId="Heading4">
    <w:name w:val="heading 4"/>
    <w:basedOn w:val="Normal"/>
    <w:next w:val="BodyText"/>
    <w:qFormat/>
    <w:pPr>
      <w:keepNext/>
      <w:spacing w:before="120" w:after="120"/>
      <w:outlineLvl w:val="3"/>
    </w:pPr>
    <w:rPr>
      <w:rFonts w:ascii="Arial" w:hAnsi="Arial"/>
      <w:bCs/>
      <w:szCs w:val="28"/>
    </w:rPr>
  </w:style>
  <w:style w:type="paragraph" w:styleId="Heading5">
    <w:name w:val="heading 5"/>
    <w:basedOn w:val="Normal"/>
    <w:next w:val="BodyText"/>
    <w:qFormat/>
    <w:pPr>
      <w:spacing w:before="120" w:after="120"/>
      <w:outlineLvl w:val="4"/>
    </w:pPr>
    <w:rPr>
      <w:rFonts w:ascii="Arial" w:hAnsi="Arial"/>
      <w:bCs/>
      <w:i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/>
      <w:ind w:firstLine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spacing w:after="480"/>
      <w:outlineLvl w:val="0"/>
    </w:pPr>
    <w:rPr>
      <w:rFonts w:ascii="Arial" w:hAnsi="Arial" w:cs="Arial"/>
      <w:b/>
      <w:bCs/>
      <w:kern w:val="28"/>
      <w:sz w:val="44"/>
      <w:szCs w:val="32"/>
    </w:rPr>
  </w:style>
  <w:style w:type="paragraph" w:styleId="ListBullet">
    <w:name w:val="List Bullet"/>
    <w:basedOn w:val="Normal"/>
    <w:autoRedefine/>
    <w:rsid w:val="001E6BDF"/>
    <w:pPr>
      <w:numPr>
        <w:numId w:val="2"/>
      </w:numPr>
    </w:pPr>
    <w:rPr>
      <w:rFonts w:ascii="Arial" w:hAnsi="Arial" w:cs="Arial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ListNumber">
    <w:name w:val="List Number"/>
    <w:aliases w:val="numberedl list"/>
    <w:basedOn w:val="Normal"/>
    <w:pPr>
      <w:numPr>
        <w:numId w:val="3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ascii="Arial" w:hAnsi="Arial"/>
      <w:bCs/>
      <w:sz w:val="20"/>
      <w:szCs w:val="20"/>
    </w:rPr>
  </w:style>
  <w:style w:type="paragraph" w:customStyle="1" w:styleId="Authors">
    <w:name w:val="Authors"/>
    <w:basedOn w:val="Normal"/>
    <w:next w:val="BodyText"/>
    <w:pPr>
      <w:spacing w:before="240" w:after="240"/>
    </w:pPr>
  </w:style>
  <w:style w:type="character" w:customStyle="1" w:styleId="GlossaryEntry">
    <w:name w:val="GlossaryEntry"/>
    <w:basedOn w:val="DefaultParagraphFont"/>
    <w:rPr>
      <w:b/>
    </w:rPr>
  </w:style>
  <w:style w:type="paragraph" w:customStyle="1" w:styleId="Reference">
    <w:name w:val="Reference"/>
    <w:basedOn w:val="Normal"/>
    <w:pPr>
      <w:ind w:left="864" w:hanging="432"/>
    </w:pPr>
  </w:style>
  <w:style w:type="paragraph" w:customStyle="1" w:styleId="Subscript">
    <w:name w:val="Subscript"/>
    <w:basedOn w:val="Title"/>
    <w:next w:val="Normal"/>
    <w:rPr>
      <w:rFonts w:ascii="Times New Roman" w:eastAsia="MS Mincho" w:hAnsi="Times New Roman"/>
      <w:b w:val="0"/>
      <w:sz w:val="24"/>
      <w:vertAlign w:val="subscript"/>
    </w:rPr>
  </w:style>
  <w:style w:type="paragraph" w:styleId="ListBullet2">
    <w:name w:val="List Bullet 2"/>
    <w:basedOn w:val="ListBullet"/>
    <w:autoRedefine/>
    <w:pPr>
      <w:numPr>
        <w:numId w:val="4"/>
      </w:numPr>
    </w:pPr>
    <w:rPr>
      <w:rFonts w:eastAsia="MS Mincho"/>
    </w:rPr>
  </w:style>
  <w:style w:type="paragraph" w:styleId="ListBullet3">
    <w:name w:val="List Bullet 3"/>
    <w:basedOn w:val="Normal"/>
    <w:autoRedefine/>
    <w:pPr>
      <w:numPr>
        <w:numId w:val="5"/>
      </w:numPr>
    </w:pPr>
    <w:rPr>
      <w:rFonts w:eastAsia="MS Mincho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Pr>
      <w:i/>
      <w:iCs/>
    </w:rPr>
  </w:style>
  <w:style w:type="paragraph" w:customStyle="1" w:styleId="FigureCutin">
    <w:name w:val="FigureCutin"/>
    <w:basedOn w:val="Normal"/>
    <w:next w:val="BodyText"/>
    <w:link w:val="FigureCutinChar"/>
    <w:pPr>
      <w:spacing w:before="240" w:after="240" w:line="480" w:lineRule="auto"/>
      <w:ind w:left="1440" w:right="1440"/>
      <w:jc w:val="center"/>
    </w:pPr>
    <w:rPr>
      <w:rFonts w:ascii="Arial" w:eastAsia="MS Mincho" w:hAnsi="Arial"/>
      <w:b/>
      <w:caps/>
    </w:rPr>
  </w:style>
  <w:style w:type="character" w:customStyle="1" w:styleId="Superscript">
    <w:name w:val="Superscript"/>
    <w:basedOn w:val="DefaultParagraphFont"/>
    <w:rPr>
      <w:rFonts w:ascii="MS Mincho" w:eastAsia="MS Mincho" w:hAnsi="MS Mincho"/>
      <w:vertAlign w:val="superscript"/>
    </w:rPr>
  </w:style>
  <w:style w:type="paragraph" w:customStyle="1" w:styleId="TableTitle">
    <w:name w:val="TableTitle"/>
    <w:basedOn w:val="BodyText"/>
    <w:next w:val="BodyText"/>
    <w:pPr>
      <w:ind w:firstLine="0"/>
    </w:pPr>
    <w:rPr>
      <w:rFonts w:ascii="Arial" w:eastAsia="MS Mincho" w:hAnsi="Arial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FigureCaption">
    <w:name w:val="FigureCaption"/>
    <w:basedOn w:val="BodyText"/>
    <w:next w:val="BodyText"/>
    <w:pPr>
      <w:ind w:firstLine="0"/>
    </w:pPr>
    <w:rPr>
      <w:rFonts w:ascii="Arial" w:hAnsi="Arial"/>
    </w:rPr>
  </w:style>
  <w:style w:type="paragraph" w:customStyle="1" w:styleId="EquationCutin">
    <w:name w:val="EquationCutin"/>
    <w:basedOn w:val="FigureCutin"/>
    <w:next w:val="BodyText"/>
    <w:link w:val="EquationCutinChar"/>
    <w:pPr>
      <w:spacing w:line="240" w:lineRule="auto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customStyle="1" w:styleId="Quotation">
    <w:name w:val="Quotation"/>
    <w:basedOn w:val="BodyText"/>
    <w:next w:val="BodyText"/>
    <w:pPr>
      <w:ind w:left="1440" w:right="1440"/>
    </w:pPr>
    <w:rPr>
      <w:rFonts w:eastAsia="MS Mincho"/>
    </w:rPr>
  </w:style>
  <w:style w:type="paragraph" w:customStyle="1" w:styleId="GlossaryDefinition">
    <w:name w:val="GlossaryDefinition"/>
    <w:basedOn w:val="BodyText"/>
    <w:pPr>
      <w:ind w:firstLine="0"/>
    </w:pPr>
    <w:rPr>
      <w:rFonts w:eastAsia="MS Mincho"/>
    </w:r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character" w:styleId="FollowedHyperlink">
    <w:name w:val="FollowedHyperlink"/>
    <w:basedOn w:val="DefaultParagraphFont"/>
    <w:rsid w:val="00A32131"/>
    <w:rPr>
      <w:color w:val="800080"/>
      <w:u w:val="single"/>
    </w:rPr>
  </w:style>
  <w:style w:type="character" w:customStyle="1" w:styleId="FigureCutinChar">
    <w:name w:val="FigureCutin Char"/>
    <w:basedOn w:val="DefaultParagraphFont"/>
    <w:link w:val="FigureCutin"/>
    <w:rsid w:val="00C90BD8"/>
    <w:rPr>
      <w:rFonts w:ascii="Arial" w:eastAsia="MS Mincho" w:hAnsi="Arial"/>
      <w:b/>
      <w:caps/>
      <w:sz w:val="24"/>
      <w:szCs w:val="24"/>
      <w:lang w:val="en-US" w:eastAsia="en-US" w:bidi="ar-SA"/>
    </w:rPr>
  </w:style>
  <w:style w:type="character" w:customStyle="1" w:styleId="EquationCutinChar">
    <w:name w:val="EquationCutin Char"/>
    <w:basedOn w:val="FigureCutinChar"/>
    <w:link w:val="EquationCutin"/>
    <w:rsid w:val="00C90BD8"/>
    <w:rPr>
      <w:rFonts w:ascii="Arial" w:eastAsia="MS Mincho" w:hAnsi="Arial"/>
      <w:b/>
      <w:caps/>
      <w:sz w:val="24"/>
      <w:szCs w:val="24"/>
      <w:lang w:val="en-US" w:eastAsia="en-US" w:bidi="ar-SA"/>
    </w:rPr>
  </w:style>
  <w:style w:type="paragraph" w:customStyle="1" w:styleId="CenteredFigure">
    <w:name w:val="CenteredFigure"/>
    <w:autoRedefine/>
    <w:rsid w:val="00C90BD8"/>
    <w:rPr>
      <w:sz w:val="24"/>
      <w:szCs w:val="24"/>
    </w:rPr>
  </w:style>
  <w:style w:type="table" w:styleId="TableGrid">
    <w:name w:val="Table Grid"/>
    <w:basedOn w:val="TableNormal"/>
    <w:rsid w:val="00B30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07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76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07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07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library.wiley.com/doi/10.1111/gwat.12042/ful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ubs.er.usgs.gov/publication/sir2016515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ubs.usgs.gov//tm/tm4-F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khalford\Courses\Dinking_with_Excel\Advertising\ExcelForHydrology_FINALforma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ExcelForHydrology_FINALformat.dot</Template>
  <TotalTime>276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Aquifer Testing Sales Pitch</vt:lpstr>
    </vt:vector>
  </TitlesOfParts>
  <Company>US Geological Survey</Company>
  <LinksUpToDate>false</LinksUpToDate>
  <CharactersWithSpaces>2644</CharactersWithSpaces>
  <SharedDoc>false</SharedDoc>
  <HLinks>
    <vt:vector size="12" baseType="variant">
      <vt:variant>
        <vt:i4>917573</vt:i4>
      </vt:variant>
      <vt:variant>
        <vt:i4>3</vt:i4>
      </vt:variant>
      <vt:variant>
        <vt:i4>0</vt:i4>
      </vt:variant>
      <vt:variant>
        <vt:i4>5</vt:i4>
      </vt:variant>
      <vt:variant>
        <vt:lpwstr>http://water.usgs.gov/admin/memo/GW/gw09.01.html</vt:lpwstr>
      </vt:variant>
      <vt:variant>
        <vt:lpwstr/>
      </vt:variant>
      <vt:variant>
        <vt:i4>196687</vt:i4>
      </vt:variant>
      <vt:variant>
        <vt:i4>0</vt:i4>
      </vt:variant>
      <vt:variant>
        <vt:i4>0</vt:i4>
      </vt:variant>
      <vt:variant>
        <vt:i4>5</vt:i4>
      </vt:variant>
      <vt:variant>
        <vt:lpwstr>http://water.usgs.gov/admin/memo/GW/gw94.02.html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Aquifer Testing Sales Pitch</dc:title>
  <dc:subject>to post on Web</dc:subject>
  <dc:creator>Keith J Halford</dc:creator>
  <cp:lastModifiedBy>Keith Halford</cp:lastModifiedBy>
  <cp:revision>14</cp:revision>
  <cp:lastPrinted>2002-12-12T18:32:00Z</cp:lastPrinted>
  <dcterms:created xsi:type="dcterms:W3CDTF">2011-04-13T19:41:00Z</dcterms:created>
  <dcterms:modified xsi:type="dcterms:W3CDTF">2019-10-01T23:09:00Z</dcterms:modified>
</cp:coreProperties>
</file>